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41A2B990" w:rsidR="00AC2CEF" w:rsidRPr="00EF7342" w:rsidRDefault="003B0E26" w:rsidP="00DF322F">
      <w:pPr>
        <w:ind w:left="5670" w:firstLine="0"/>
        <w:jc w:val="right"/>
        <w:rPr>
          <w:b/>
        </w:rPr>
      </w:pPr>
      <w:r w:rsidRPr="00EF7342">
        <w:rPr>
          <w:b/>
        </w:rPr>
        <w:t>«</w:t>
      </w:r>
      <w:r w:rsidR="00C81DE1">
        <w:rPr>
          <w:b/>
        </w:rPr>
        <w:t>06</w:t>
      </w:r>
      <w:r w:rsidR="00940A56" w:rsidRPr="00EF7342">
        <w:rPr>
          <w:b/>
        </w:rPr>
        <w:t>»</w:t>
      </w:r>
      <w:r w:rsidR="0022695C" w:rsidRPr="00EF7342">
        <w:rPr>
          <w:b/>
        </w:rPr>
        <w:t xml:space="preserve"> </w:t>
      </w:r>
      <w:r w:rsidR="00C81DE1">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7A711760"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C81DE1">
        <w:rPr>
          <w:b/>
        </w:rPr>
        <w:t>58</w:t>
      </w:r>
      <w:r w:rsidR="00E65B3B">
        <w:rPr>
          <w:b/>
        </w:rPr>
        <w:t>/23</w:t>
      </w:r>
      <w:r w:rsidR="00601EB9">
        <w:rPr>
          <w:b/>
        </w:rPr>
        <w:t>00</w:t>
      </w:r>
      <w:r w:rsidR="00855F59" w:rsidRPr="00D16D62">
        <w:rPr>
          <w:b/>
        </w:rPr>
        <w:t>0</w:t>
      </w:r>
      <w:r w:rsidR="00C81DE1">
        <w:rPr>
          <w:b/>
        </w:rPr>
        <w:t>58</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41478005"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w:t>
      </w:r>
      <w:proofErr w:type="gramStart"/>
      <w:r w:rsidR="00C458DA" w:rsidRPr="00EF7342">
        <w:t>факт./</w:t>
      </w:r>
      <w:proofErr w:type="gramEnd"/>
      <w:r w:rsidR="00C458DA" w:rsidRPr="00EF7342">
        <w:t>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w:t>
      </w:r>
      <w:proofErr w:type="gramStart"/>
      <w:r w:rsidR="00A6520F" w:rsidRPr="00EF7342">
        <w:t>факт./</w:t>
      </w:r>
      <w:proofErr w:type="gramEnd"/>
      <w:r w:rsidR="00A6520F" w:rsidRPr="00EF7342">
        <w:t>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77777777" w:rsidR="0075157F" w:rsidRPr="00A72336" w:rsidRDefault="0034305F" w:rsidP="0075157F">
      <w:pPr>
        <w:tabs>
          <w:tab w:val="num" w:pos="0"/>
        </w:tabs>
        <w:spacing w:line="240" w:lineRule="auto"/>
      </w:pPr>
      <w:r w:rsidRPr="00EF7342">
        <w:t xml:space="preserve">Контактное лицо – </w:t>
      </w:r>
      <w:r w:rsidR="0075157F" w:rsidRPr="00A72336">
        <w:t>Царева Наталия Владимировна</w:t>
      </w:r>
    </w:p>
    <w:p w14:paraId="6DB522FD" w14:textId="77777777" w:rsidR="0075157F" w:rsidRPr="009159E1" w:rsidRDefault="0075157F" w:rsidP="0075157F">
      <w:pPr>
        <w:tabs>
          <w:tab w:val="num" w:pos="0"/>
        </w:tabs>
        <w:spacing w:line="240" w:lineRule="auto"/>
      </w:pPr>
      <w:r w:rsidRPr="00804C9C">
        <w:rPr>
          <w:lang w:val="en-US"/>
        </w:rPr>
        <w:t>e</w:t>
      </w:r>
      <w:r w:rsidRPr="009159E1">
        <w:t>-</w:t>
      </w:r>
      <w:r w:rsidRPr="00804C9C">
        <w:rPr>
          <w:lang w:val="en-US"/>
        </w:rPr>
        <w:t>mail</w:t>
      </w:r>
      <w:r w:rsidRPr="009159E1">
        <w:t xml:space="preserve">: </w:t>
      </w:r>
      <w:proofErr w:type="spellStart"/>
      <w:r w:rsidRPr="00804C9C">
        <w:rPr>
          <w:lang w:val="en-US"/>
        </w:rPr>
        <w:t>tsarevanv</w:t>
      </w:r>
      <w:proofErr w:type="spellEnd"/>
      <w:r w:rsidRPr="009159E1">
        <w:t>@</w:t>
      </w:r>
      <w:proofErr w:type="spellStart"/>
      <w:r w:rsidRPr="00804C9C">
        <w:rPr>
          <w:lang w:val="en-US"/>
        </w:rPr>
        <w:t>mtu</w:t>
      </w:r>
      <w:proofErr w:type="spellEnd"/>
      <w:r w:rsidRPr="009159E1">
        <w:t>-</w:t>
      </w:r>
      <w:proofErr w:type="spellStart"/>
      <w:r w:rsidRPr="00804C9C">
        <w:rPr>
          <w:lang w:val="en-US"/>
        </w:rPr>
        <w:t>saturn</w:t>
      </w:r>
      <w:proofErr w:type="spellEnd"/>
      <w:r w:rsidRPr="009159E1">
        <w:t>.</w:t>
      </w:r>
      <w:proofErr w:type="spellStart"/>
      <w:r w:rsidRPr="00804C9C">
        <w:rPr>
          <w:lang w:val="en-US"/>
        </w:rPr>
        <w:t>ru</w:t>
      </w:r>
      <w:proofErr w:type="spellEnd"/>
    </w:p>
    <w:p w14:paraId="1D7E4381" w14:textId="77777777" w:rsidR="00FE608F" w:rsidRDefault="0075157F" w:rsidP="00FE608F">
      <w:pPr>
        <w:rPr>
          <w:sz w:val="22"/>
          <w:szCs w:val="22"/>
        </w:rPr>
      </w:pPr>
      <w:r w:rsidRPr="00A72336">
        <w:t xml:space="preserve">тел. </w:t>
      </w:r>
      <w:r w:rsidR="00FE608F" w:rsidRPr="00CB6BAD">
        <w:t>+7 495 788 00 07 (5301)</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7B70139C" w:rsidR="00AA36FE" w:rsidRPr="00AA36FE" w:rsidRDefault="00AA36FE" w:rsidP="00AA36FE">
      <w:pPr>
        <w:ind w:firstLine="0"/>
        <w:jc w:val="left"/>
        <w:rPr>
          <w:bCs/>
        </w:rPr>
      </w:pPr>
      <w:bookmarkStart w:id="1" w:name="_Toc209261654"/>
      <w:r>
        <w:rPr>
          <w:bCs/>
        </w:rPr>
        <w:t>кабельно-проводниковая продукция</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9985" w:type="dxa"/>
        <w:tblInd w:w="113" w:type="dxa"/>
        <w:tblCellMar>
          <w:top w:w="15" w:type="dxa"/>
        </w:tblCellMar>
        <w:tblLook w:val="04A0" w:firstRow="1" w:lastRow="0" w:firstColumn="1" w:lastColumn="0" w:noHBand="0" w:noVBand="1"/>
      </w:tblPr>
      <w:tblGrid>
        <w:gridCol w:w="988"/>
        <w:gridCol w:w="1809"/>
        <w:gridCol w:w="2443"/>
        <w:gridCol w:w="2268"/>
        <w:gridCol w:w="1276"/>
        <w:gridCol w:w="850"/>
        <w:gridCol w:w="351"/>
      </w:tblGrid>
      <w:tr w:rsidR="00CB6BAD" w:rsidRPr="00CB6BAD" w14:paraId="4741E4E8" w14:textId="77777777" w:rsidTr="00CB6BAD">
        <w:trPr>
          <w:gridAfter w:val="1"/>
          <w:wAfter w:w="351" w:type="dxa"/>
          <w:trHeight w:val="90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4793"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w:t>
            </w:r>
            <w:r w:rsidRPr="00CB6BAD">
              <w:rPr>
                <w:color w:val="000000"/>
                <w:sz w:val="24"/>
                <w:szCs w:val="24"/>
              </w:rPr>
              <w:br/>
            </w:r>
            <w:proofErr w:type="spellStart"/>
            <w:r w:rsidRPr="00CB6BAD">
              <w:rPr>
                <w:color w:val="000000"/>
                <w:sz w:val="24"/>
                <w:szCs w:val="24"/>
              </w:rPr>
              <w:t>п.п</w:t>
            </w:r>
            <w:proofErr w:type="spellEnd"/>
            <w:r w:rsidRPr="00CB6BAD">
              <w:rPr>
                <w:color w:val="000000"/>
                <w:sz w:val="24"/>
                <w:szCs w:val="24"/>
              </w:rPr>
              <w:t>. (в заявке)</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AA1D4"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Наименование и техническая характеристика</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F0A2C"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 xml:space="preserve">Тип, марка, обозначение </w:t>
            </w:r>
            <w:r w:rsidRPr="00CB6BAD">
              <w:rPr>
                <w:color w:val="000000"/>
                <w:sz w:val="24"/>
                <w:szCs w:val="24"/>
              </w:rPr>
              <w:br/>
              <w:t>документа, опросного листа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610C1"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 xml:space="preserve">Код оборудования, </w:t>
            </w:r>
            <w:r w:rsidRPr="00CB6BAD">
              <w:rPr>
                <w:color w:val="000000"/>
                <w:sz w:val="24"/>
                <w:szCs w:val="24"/>
              </w:rPr>
              <w:br/>
              <w:t>изделия, материала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2EF05"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 xml:space="preserve">Единица </w:t>
            </w:r>
            <w:proofErr w:type="spellStart"/>
            <w:r w:rsidRPr="00CB6BAD">
              <w:rPr>
                <w:color w:val="000000"/>
                <w:sz w:val="24"/>
                <w:szCs w:val="24"/>
              </w:rPr>
              <w:t>измере</w:t>
            </w:r>
            <w:proofErr w:type="spellEnd"/>
            <w:r w:rsidRPr="00CB6BAD">
              <w:rPr>
                <w:color w:val="000000"/>
                <w:sz w:val="24"/>
                <w:szCs w:val="24"/>
              </w:rPr>
              <w:t xml:space="preserve">- </w:t>
            </w:r>
            <w:proofErr w:type="spellStart"/>
            <w:r w:rsidRPr="00CB6BAD">
              <w:rPr>
                <w:color w:val="000000"/>
                <w:sz w:val="24"/>
                <w:szCs w:val="24"/>
              </w:rPr>
              <w:t>ния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89E69" w14:textId="77777777" w:rsidR="00CB6BAD" w:rsidRPr="00CB6BAD" w:rsidRDefault="00CB6BAD" w:rsidP="00CB6BAD">
            <w:pPr>
              <w:spacing w:line="240" w:lineRule="auto"/>
              <w:ind w:firstLine="0"/>
              <w:jc w:val="center"/>
              <w:rPr>
                <w:color w:val="000000"/>
                <w:sz w:val="24"/>
                <w:szCs w:val="24"/>
              </w:rPr>
            </w:pPr>
            <w:r w:rsidRPr="00CB6BAD">
              <w:rPr>
                <w:color w:val="000000"/>
                <w:sz w:val="24"/>
                <w:szCs w:val="24"/>
              </w:rPr>
              <w:t>Кол-во</w:t>
            </w:r>
          </w:p>
        </w:tc>
      </w:tr>
      <w:tr w:rsidR="00CB6BAD" w:rsidRPr="00CB6BAD" w14:paraId="64350697" w14:textId="77777777" w:rsidTr="00CB6BAD">
        <w:trPr>
          <w:trHeight w:val="14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F76C0D" w14:textId="77777777" w:rsidR="00CB6BAD" w:rsidRPr="00CB6BAD" w:rsidRDefault="00CB6BAD" w:rsidP="00CB6BAD">
            <w:pPr>
              <w:spacing w:line="240" w:lineRule="auto"/>
              <w:ind w:firstLine="0"/>
              <w:jc w:val="left"/>
              <w:rPr>
                <w:color w:val="000000"/>
                <w:sz w:val="16"/>
                <w:szCs w:val="16"/>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3FF90B69" w14:textId="77777777" w:rsidR="00CB6BAD" w:rsidRPr="00CB6BAD" w:rsidRDefault="00CB6BAD" w:rsidP="00CB6BAD">
            <w:pPr>
              <w:spacing w:line="240" w:lineRule="auto"/>
              <w:ind w:firstLine="0"/>
              <w:jc w:val="left"/>
              <w:rPr>
                <w:color w:val="000000"/>
                <w:sz w:val="16"/>
                <w:szCs w:val="16"/>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50378912" w14:textId="77777777" w:rsidR="00CB6BAD" w:rsidRPr="00CB6BAD" w:rsidRDefault="00CB6BAD" w:rsidP="00CB6BAD">
            <w:pPr>
              <w:spacing w:line="240" w:lineRule="auto"/>
              <w:ind w:firstLine="0"/>
              <w:jc w:val="left"/>
              <w:rPr>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924DC7" w14:textId="77777777" w:rsidR="00CB6BAD" w:rsidRPr="00CB6BAD" w:rsidRDefault="00CB6BAD" w:rsidP="00CB6BAD">
            <w:pPr>
              <w:spacing w:line="240" w:lineRule="auto"/>
              <w:ind w:firstLine="0"/>
              <w:jc w:val="left"/>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F6346E" w14:textId="77777777" w:rsidR="00CB6BAD" w:rsidRPr="00CB6BAD" w:rsidRDefault="00CB6BAD" w:rsidP="00CB6BAD">
            <w:pPr>
              <w:spacing w:line="240" w:lineRule="auto"/>
              <w:ind w:firstLine="0"/>
              <w:jc w:val="left"/>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465095" w14:textId="77777777" w:rsidR="00CB6BAD" w:rsidRPr="00CB6BAD" w:rsidRDefault="00CB6BAD" w:rsidP="00CB6BAD">
            <w:pPr>
              <w:spacing w:line="240" w:lineRule="auto"/>
              <w:ind w:firstLine="0"/>
              <w:jc w:val="left"/>
              <w:rPr>
                <w:color w:val="000000"/>
                <w:sz w:val="16"/>
                <w:szCs w:val="16"/>
              </w:rPr>
            </w:pPr>
          </w:p>
        </w:tc>
        <w:tc>
          <w:tcPr>
            <w:tcW w:w="351" w:type="dxa"/>
            <w:tcBorders>
              <w:top w:val="nil"/>
              <w:left w:val="nil"/>
              <w:bottom w:val="nil"/>
              <w:right w:val="nil"/>
            </w:tcBorders>
            <w:shd w:val="clear" w:color="auto" w:fill="auto"/>
            <w:noWrap/>
            <w:vAlign w:val="bottom"/>
            <w:hideMark/>
          </w:tcPr>
          <w:p w14:paraId="168E17D5" w14:textId="77777777" w:rsidR="00CB6BAD" w:rsidRPr="00CB6BAD" w:rsidRDefault="00CB6BAD" w:rsidP="00CB6BAD">
            <w:pPr>
              <w:spacing w:line="240" w:lineRule="auto"/>
              <w:ind w:firstLine="0"/>
              <w:jc w:val="center"/>
              <w:rPr>
                <w:color w:val="000000"/>
                <w:sz w:val="16"/>
                <w:szCs w:val="16"/>
              </w:rPr>
            </w:pPr>
          </w:p>
        </w:tc>
      </w:tr>
      <w:tr w:rsidR="00CB6BAD" w:rsidRPr="00CB6BAD" w14:paraId="2549CB34" w14:textId="77777777" w:rsidTr="00CB6BAD">
        <w:tblPrEx>
          <w:tblCellMar>
            <w:top w:w="0" w:type="dxa"/>
          </w:tblCellMar>
        </w:tblPrEx>
        <w:trPr>
          <w:gridAfter w:val="1"/>
          <w:wAfter w:w="351"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4F5D6" w14:textId="77777777" w:rsidR="00CB6BAD" w:rsidRPr="00CB6BAD" w:rsidRDefault="00CB6BAD" w:rsidP="00CB6BAD">
            <w:pPr>
              <w:spacing w:line="240" w:lineRule="auto"/>
              <w:ind w:firstLine="0"/>
              <w:jc w:val="center"/>
              <w:rPr>
                <w:sz w:val="24"/>
                <w:szCs w:val="24"/>
              </w:rPr>
            </w:pPr>
            <w:r w:rsidRPr="00CB6BAD">
              <w:rPr>
                <w:sz w:val="24"/>
                <w:szCs w:val="24"/>
              </w:rPr>
              <w:t>1</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5647F86B"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20D5F" w14:textId="77777777" w:rsidR="00CB6BAD" w:rsidRPr="00CB6BAD" w:rsidRDefault="00CB6BAD" w:rsidP="00CB6BAD">
            <w:pPr>
              <w:spacing w:line="240" w:lineRule="auto"/>
              <w:ind w:firstLine="0"/>
              <w:jc w:val="center"/>
              <w:rPr>
                <w:sz w:val="24"/>
                <w:szCs w:val="24"/>
              </w:rPr>
            </w:pPr>
            <w:r w:rsidRPr="00CB6BAD">
              <w:rPr>
                <w:sz w:val="24"/>
                <w:szCs w:val="24"/>
              </w:rPr>
              <w:t xml:space="preserve">РК 75-7-317 </w:t>
            </w:r>
            <w:proofErr w:type="spellStart"/>
            <w:r w:rsidRPr="00CB6BAD">
              <w:rPr>
                <w:sz w:val="24"/>
                <w:szCs w:val="24"/>
              </w:rPr>
              <w:t>Фс</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7A997" w14:textId="77777777" w:rsidR="00CB6BAD" w:rsidRPr="00CB6BAD" w:rsidRDefault="00CB6BAD" w:rsidP="00CB6BAD">
            <w:pPr>
              <w:spacing w:line="240" w:lineRule="auto"/>
              <w:ind w:firstLine="0"/>
              <w:jc w:val="center"/>
              <w:rPr>
                <w:sz w:val="24"/>
                <w:szCs w:val="24"/>
              </w:rPr>
            </w:pPr>
            <w:r w:rsidRPr="00CB6BAD">
              <w:rPr>
                <w:sz w:val="24"/>
                <w:szCs w:val="24"/>
              </w:rPr>
              <w:t>ТУ16.К99-035-2007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53A4"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2B229" w14:textId="77777777" w:rsidR="00CB6BAD" w:rsidRPr="00CB6BAD" w:rsidRDefault="00CB6BAD" w:rsidP="00CB6BAD">
            <w:pPr>
              <w:spacing w:line="240" w:lineRule="auto"/>
              <w:ind w:firstLine="0"/>
              <w:jc w:val="center"/>
              <w:rPr>
                <w:sz w:val="24"/>
                <w:szCs w:val="24"/>
              </w:rPr>
            </w:pPr>
            <w:r w:rsidRPr="00CB6BAD">
              <w:rPr>
                <w:sz w:val="24"/>
                <w:szCs w:val="24"/>
              </w:rPr>
              <w:t>125</w:t>
            </w:r>
          </w:p>
        </w:tc>
      </w:tr>
      <w:tr w:rsidR="00CB6BAD" w:rsidRPr="00CB6BAD" w14:paraId="3F577D9B" w14:textId="77777777" w:rsidTr="00CB6BAD">
        <w:tblPrEx>
          <w:tblCellMar>
            <w:top w:w="0" w:type="dxa"/>
          </w:tblCellMar>
        </w:tblPrEx>
        <w:trPr>
          <w:gridAfter w:val="1"/>
          <w:wAfter w:w="351"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54A7B" w14:textId="77777777" w:rsidR="00CB6BAD" w:rsidRPr="00CB6BAD" w:rsidRDefault="00CB6BAD" w:rsidP="00CB6BAD">
            <w:pPr>
              <w:spacing w:line="240" w:lineRule="auto"/>
              <w:ind w:firstLine="0"/>
              <w:jc w:val="center"/>
              <w:rPr>
                <w:sz w:val="24"/>
                <w:szCs w:val="24"/>
              </w:rPr>
            </w:pPr>
            <w:r w:rsidRPr="00CB6BAD">
              <w:rPr>
                <w:sz w:val="24"/>
                <w:szCs w:val="24"/>
              </w:rPr>
              <w:t>2</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35071A30"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4848B" w14:textId="77777777" w:rsidR="00CB6BAD" w:rsidRPr="00CB6BAD" w:rsidRDefault="00CB6BAD" w:rsidP="00CB6BAD">
            <w:pPr>
              <w:spacing w:line="240" w:lineRule="auto"/>
              <w:ind w:firstLine="0"/>
              <w:jc w:val="center"/>
              <w:rPr>
                <w:sz w:val="24"/>
                <w:szCs w:val="24"/>
              </w:rPr>
            </w:pPr>
            <w:proofErr w:type="spellStart"/>
            <w:r w:rsidRPr="00CB6BAD">
              <w:rPr>
                <w:sz w:val="24"/>
                <w:szCs w:val="24"/>
              </w:rPr>
              <w:t>КВПЭфнг</w:t>
            </w:r>
            <w:proofErr w:type="spellEnd"/>
            <w:r w:rsidRPr="00CB6BAD">
              <w:rPr>
                <w:sz w:val="24"/>
                <w:szCs w:val="24"/>
              </w:rPr>
              <w:t>(А)-LS-5е 2х2х0,52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DB1EC" w14:textId="77777777" w:rsidR="00CB6BAD" w:rsidRPr="00CB6BAD" w:rsidRDefault="00CB6BAD" w:rsidP="00CB6BAD">
            <w:pPr>
              <w:spacing w:line="240" w:lineRule="auto"/>
              <w:ind w:firstLine="0"/>
              <w:jc w:val="center"/>
              <w:rPr>
                <w:sz w:val="24"/>
                <w:szCs w:val="24"/>
              </w:rPr>
            </w:pPr>
            <w:r w:rsidRPr="00CB6BAD">
              <w:rPr>
                <w:sz w:val="24"/>
                <w:szCs w:val="24"/>
              </w:rPr>
              <w:t>ТУ16.К99-014-2004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56987"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E2B7E" w14:textId="0828221A" w:rsidR="00CB6BAD" w:rsidRPr="00CB6BAD" w:rsidRDefault="00497198" w:rsidP="00CB6BAD">
            <w:pPr>
              <w:spacing w:line="240" w:lineRule="auto"/>
              <w:ind w:firstLine="0"/>
              <w:jc w:val="center"/>
              <w:rPr>
                <w:sz w:val="24"/>
                <w:szCs w:val="24"/>
              </w:rPr>
            </w:pPr>
            <w:r>
              <w:rPr>
                <w:sz w:val="24"/>
                <w:szCs w:val="24"/>
              </w:rPr>
              <w:t>4112</w:t>
            </w:r>
          </w:p>
        </w:tc>
      </w:tr>
      <w:tr w:rsidR="00CB6BAD" w:rsidRPr="00CB6BAD" w14:paraId="71E1307C"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A6E77" w14:textId="77777777" w:rsidR="00CB6BAD" w:rsidRPr="00CB6BAD" w:rsidRDefault="00CB6BAD" w:rsidP="00CB6BAD">
            <w:pPr>
              <w:spacing w:line="240" w:lineRule="auto"/>
              <w:ind w:firstLine="0"/>
              <w:jc w:val="center"/>
              <w:rPr>
                <w:sz w:val="24"/>
                <w:szCs w:val="24"/>
              </w:rPr>
            </w:pPr>
            <w:r w:rsidRPr="00CB6BAD">
              <w:rPr>
                <w:sz w:val="24"/>
                <w:szCs w:val="24"/>
              </w:rPr>
              <w:t>3</w:t>
            </w:r>
          </w:p>
        </w:tc>
        <w:tc>
          <w:tcPr>
            <w:tcW w:w="1809" w:type="dxa"/>
            <w:tcBorders>
              <w:top w:val="single" w:sz="4" w:space="0" w:color="3F3F3F"/>
              <w:left w:val="single" w:sz="4" w:space="0" w:color="auto"/>
              <w:bottom w:val="single" w:sz="4" w:space="0" w:color="auto"/>
              <w:right w:val="single" w:sz="4" w:space="0" w:color="auto"/>
            </w:tcBorders>
            <w:shd w:val="clear" w:color="000000" w:fill="FFFFFF"/>
            <w:hideMark/>
          </w:tcPr>
          <w:p w14:paraId="65EC85D3"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6CB24" w14:textId="77777777" w:rsidR="00CB6BAD" w:rsidRPr="00CB6BAD" w:rsidRDefault="00CB6BAD" w:rsidP="00CB6BAD">
            <w:pPr>
              <w:spacing w:line="240" w:lineRule="auto"/>
              <w:ind w:firstLine="0"/>
              <w:jc w:val="center"/>
              <w:rPr>
                <w:sz w:val="24"/>
                <w:szCs w:val="24"/>
              </w:rPr>
            </w:pPr>
            <w:proofErr w:type="spellStart"/>
            <w:r w:rsidRPr="00CB6BAD">
              <w:rPr>
                <w:sz w:val="24"/>
                <w:szCs w:val="24"/>
              </w:rPr>
              <w:t>КВЧнг</w:t>
            </w:r>
            <w:proofErr w:type="spellEnd"/>
            <w:r w:rsidRPr="00CB6BAD">
              <w:rPr>
                <w:sz w:val="24"/>
                <w:szCs w:val="24"/>
              </w:rPr>
              <w:t>(А)-5е-БГ 1х4х0,78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BF599" w14:textId="77777777" w:rsidR="00CB6BAD" w:rsidRPr="00CB6BAD" w:rsidRDefault="00CB6BAD" w:rsidP="00CB6BAD">
            <w:pPr>
              <w:spacing w:line="240" w:lineRule="auto"/>
              <w:ind w:firstLine="0"/>
              <w:jc w:val="center"/>
              <w:rPr>
                <w:sz w:val="24"/>
                <w:szCs w:val="24"/>
              </w:rPr>
            </w:pPr>
            <w:r w:rsidRPr="00CB6BAD">
              <w:rPr>
                <w:sz w:val="24"/>
                <w:szCs w:val="24"/>
              </w:rPr>
              <w:t>ФЖТК 357400.063ТУ</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27F99"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E28D" w14:textId="7D324C5F" w:rsidR="00CB6BAD" w:rsidRPr="00CB6BAD" w:rsidRDefault="00CB6BAD" w:rsidP="00CB6BAD">
            <w:pPr>
              <w:spacing w:line="240" w:lineRule="auto"/>
              <w:ind w:firstLine="0"/>
              <w:jc w:val="center"/>
              <w:rPr>
                <w:sz w:val="24"/>
                <w:szCs w:val="24"/>
              </w:rPr>
            </w:pPr>
            <w:r w:rsidRPr="00CB6BAD">
              <w:rPr>
                <w:sz w:val="24"/>
                <w:szCs w:val="24"/>
              </w:rPr>
              <w:t>1</w:t>
            </w:r>
            <w:r w:rsidR="00497198">
              <w:rPr>
                <w:sz w:val="24"/>
                <w:szCs w:val="24"/>
              </w:rPr>
              <w:t>730</w:t>
            </w:r>
          </w:p>
        </w:tc>
      </w:tr>
      <w:tr w:rsidR="00CB6BAD" w:rsidRPr="00CB6BAD" w14:paraId="0DC1ED5E"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DE926" w14:textId="77777777" w:rsidR="00CB6BAD" w:rsidRPr="00CB6BAD" w:rsidRDefault="00CB6BAD" w:rsidP="00CB6BAD">
            <w:pPr>
              <w:spacing w:line="240" w:lineRule="auto"/>
              <w:ind w:firstLine="0"/>
              <w:jc w:val="center"/>
              <w:rPr>
                <w:sz w:val="24"/>
                <w:szCs w:val="24"/>
              </w:rPr>
            </w:pPr>
            <w:r w:rsidRPr="00CB6BAD">
              <w:rPr>
                <w:sz w:val="24"/>
                <w:szCs w:val="24"/>
              </w:rPr>
              <w:t>4</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1BB64A6C"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1CF20" w14:textId="77777777" w:rsidR="00CB6BAD" w:rsidRPr="00CB6BAD" w:rsidRDefault="00CB6BAD" w:rsidP="00CB6BAD">
            <w:pPr>
              <w:spacing w:line="240" w:lineRule="auto"/>
              <w:ind w:firstLine="0"/>
              <w:jc w:val="center"/>
              <w:rPr>
                <w:sz w:val="24"/>
                <w:szCs w:val="24"/>
                <w:highlight w:val="yellow"/>
              </w:rPr>
            </w:pPr>
            <w:r w:rsidRPr="00CB6BAD">
              <w:rPr>
                <w:sz w:val="24"/>
                <w:szCs w:val="24"/>
              </w:rPr>
              <w:t>РК 50-7-313нг(C)-HF</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3D9D0" w14:textId="77777777" w:rsidR="00CB6BAD" w:rsidRPr="00CB6BAD" w:rsidRDefault="00CB6BAD" w:rsidP="00CB6BAD">
            <w:pPr>
              <w:spacing w:line="240" w:lineRule="auto"/>
              <w:ind w:firstLine="0"/>
              <w:jc w:val="center"/>
              <w:rPr>
                <w:sz w:val="24"/>
                <w:szCs w:val="24"/>
              </w:rPr>
            </w:pPr>
            <w:r w:rsidRPr="00CB6BAD">
              <w:rPr>
                <w:sz w:val="24"/>
                <w:szCs w:val="24"/>
              </w:rPr>
              <w:t>ТУ16.К99-035-2007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5CF57"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011A7" w14:textId="27DE1198" w:rsidR="00CB6BAD" w:rsidRPr="00CB6BAD" w:rsidRDefault="00497198" w:rsidP="00CB6BAD">
            <w:pPr>
              <w:spacing w:line="240" w:lineRule="auto"/>
              <w:ind w:firstLine="0"/>
              <w:jc w:val="center"/>
              <w:rPr>
                <w:sz w:val="24"/>
                <w:szCs w:val="24"/>
              </w:rPr>
            </w:pPr>
            <w:r>
              <w:rPr>
                <w:sz w:val="24"/>
                <w:szCs w:val="24"/>
              </w:rPr>
              <w:t>65</w:t>
            </w:r>
            <w:r w:rsidR="00CB6BAD" w:rsidRPr="00CB6BAD">
              <w:rPr>
                <w:sz w:val="24"/>
                <w:szCs w:val="24"/>
              </w:rPr>
              <w:t>0</w:t>
            </w:r>
          </w:p>
        </w:tc>
      </w:tr>
      <w:tr w:rsidR="00CB6BAD" w:rsidRPr="00CB6BAD" w14:paraId="00192E4B"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E0621" w14:textId="77789208" w:rsidR="00CB6BAD" w:rsidRPr="00CB6BAD" w:rsidRDefault="00497198" w:rsidP="00CB6BAD">
            <w:pPr>
              <w:spacing w:line="240" w:lineRule="auto"/>
              <w:ind w:firstLine="0"/>
              <w:jc w:val="center"/>
              <w:rPr>
                <w:sz w:val="24"/>
                <w:szCs w:val="24"/>
              </w:rPr>
            </w:pPr>
            <w:r>
              <w:rPr>
                <w:sz w:val="24"/>
                <w:szCs w:val="24"/>
              </w:rPr>
              <w:t>5</w:t>
            </w:r>
          </w:p>
        </w:tc>
        <w:tc>
          <w:tcPr>
            <w:tcW w:w="1809" w:type="dxa"/>
            <w:tcBorders>
              <w:top w:val="single" w:sz="4" w:space="0" w:color="3F3F3F"/>
              <w:left w:val="single" w:sz="4" w:space="0" w:color="auto"/>
              <w:bottom w:val="single" w:sz="4" w:space="0" w:color="auto"/>
              <w:right w:val="single" w:sz="4" w:space="0" w:color="auto"/>
            </w:tcBorders>
            <w:shd w:val="clear" w:color="000000" w:fill="FFFFFF"/>
            <w:hideMark/>
          </w:tcPr>
          <w:p w14:paraId="67DDE5AB"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0CE7A" w14:textId="77777777" w:rsidR="00CB6BAD" w:rsidRPr="00CB6BAD" w:rsidRDefault="00CB6BAD" w:rsidP="00CB6BAD">
            <w:pPr>
              <w:spacing w:line="240" w:lineRule="auto"/>
              <w:ind w:firstLine="0"/>
              <w:jc w:val="center"/>
              <w:rPr>
                <w:sz w:val="24"/>
                <w:szCs w:val="24"/>
              </w:rPr>
            </w:pPr>
            <w:proofErr w:type="spellStart"/>
            <w:r w:rsidRPr="00CB6BAD">
              <w:rPr>
                <w:sz w:val="24"/>
                <w:szCs w:val="24"/>
              </w:rPr>
              <w:t>КВПЭфнг</w:t>
            </w:r>
            <w:proofErr w:type="spellEnd"/>
            <w:r w:rsidRPr="00CB6BAD">
              <w:rPr>
                <w:sz w:val="24"/>
                <w:szCs w:val="24"/>
              </w:rPr>
              <w:t>(А)-LS-5е 4х2х0,52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DF3BC" w14:textId="77777777" w:rsidR="00CB6BAD" w:rsidRPr="00CB6BAD" w:rsidRDefault="00CB6BAD" w:rsidP="00CB6BAD">
            <w:pPr>
              <w:spacing w:line="240" w:lineRule="auto"/>
              <w:ind w:firstLine="0"/>
              <w:jc w:val="center"/>
              <w:rPr>
                <w:sz w:val="24"/>
                <w:szCs w:val="24"/>
              </w:rPr>
            </w:pPr>
            <w:r w:rsidRPr="00CB6BAD">
              <w:rPr>
                <w:sz w:val="24"/>
                <w:szCs w:val="24"/>
              </w:rPr>
              <w:t>ТУ16.К99-014-2004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F4297"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A8050" w14:textId="2387FBC5" w:rsidR="00CB6BAD" w:rsidRPr="00CB6BAD" w:rsidRDefault="00497198" w:rsidP="00CB6BAD">
            <w:pPr>
              <w:spacing w:line="240" w:lineRule="auto"/>
              <w:ind w:firstLine="0"/>
              <w:jc w:val="center"/>
              <w:rPr>
                <w:sz w:val="24"/>
                <w:szCs w:val="24"/>
              </w:rPr>
            </w:pPr>
            <w:r>
              <w:rPr>
                <w:sz w:val="24"/>
                <w:szCs w:val="24"/>
              </w:rPr>
              <w:t>4095</w:t>
            </w:r>
          </w:p>
        </w:tc>
      </w:tr>
      <w:tr w:rsidR="00CB6BAD" w:rsidRPr="00CB6BAD" w14:paraId="72A15E3F"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B3AF" w14:textId="4A2099CE" w:rsidR="00CB6BAD" w:rsidRPr="00CB6BAD" w:rsidRDefault="00497198" w:rsidP="00CB6BAD">
            <w:pPr>
              <w:spacing w:line="240" w:lineRule="auto"/>
              <w:ind w:firstLine="0"/>
              <w:jc w:val="center"/>
              <w:rPr>
                <w:sz w:val="24"/>
                <w:szCs w:val="24"/>
              </w:rPr>
            </w:pPr>
            <w:r>
              <w:rPr>
                <w:sz w:val="24"/>
                <w:szCs w:val="24"/>
              </w:rPr>
              <w:t>6</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7F272281"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3A5DA" w14:textId="77777777" w:rsidR="00CB6BAD" w:rsidRPr="00CB6BAD" w:rsidRDefault="00CB6BAD" w:rsidP="00CB6BAD">
            <w:pPr>
              <w:spacing w:line="240" w:lineRule="auto"/>
              <w:ind w:firstLine="0"/>
              <w:jc w:val="center"/>
              <w:rPr>
                <w:sz w:val="24"/>
                <w:szCs w:val="24"/>
              </w:rPr>
            </w:pPr>
            <w:r w:rsidRPr="00CB6BAD">
              <w:rPr>
                <w:sz w:val="24"/>
                <w:szCs w:val="24"/>
              </w:rPr>
              <w:t>КМС-2В 2x2x0,52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E60C1" w14:textId="77777777" w:rsidR="00CB6BAD" w:rsidRPr="00CB6BAD" w:rsidRDefault="00CB6BAD" w:rsidP="00CB6BAD">
            <w:pPr>
              <w:spacing w:line="240" w:lineRule="auto"/>
              <w:ind w:firstLine="0"/>
              <w:jc w:val="center"/>
              <w:rPr>
                <w:sz w:val="24"/>
                <w:szCs w:val="24"/>
              </w:rPr>
            </w:pPr>
            <w:r w:rsidRPr="00CB6BAD">
              <w:rPr>
                <w:sz w:val="24"/>
                <w:szCs w:val="24"/>
              </w:rPr>
              <w:t>ТУ 3574-03-47273194-99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D65FE"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E9830" w14:textId="77777777" w:rsidR="00CB6BAD" w:rsidRPr="00CB6BAD" w:rsidRDefault="00CB6BAD" w:rsidP="00CB6BAD">
            <w:pPr>
              <w:spacing w:line="240" w:lineRule="auto"/>
              <w:ind w:firstLine="0"/>
              <w:jc w:val="center"/>
              <w:rPr>
                <w:sz w:val="24"/>
                <w:szCs w:val="24"/>
              </w:rPr>
            </w:pPr>
            <w:r w:rsidRPr="00CB6BAD">
              <w:rPr>
                <w:sz w:val="24"/>
                <w:szCs w:val="24"/>
              </w:rPr>
              <w:t>64</w:t>
            </w:r>
          </w:p>
        </w:tc>
      </w:tr>
      <w:tr w:rsidR="00CB6BAD" w:rsidRPr="00CB6BAD" w14:paraId="1BB09060"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99DFC" w14:textId="13D274BA" w:rsidR="00CB6BAD" w:rsidRPr="00CB6BAD" w:rsidRDefault="00497198" w:rsidP="00CB6BAD">
            <w:pPr>
              <w:spacing w:line="240" w:lineRule="auto"/>
              <w:ind w:firstLine="0"/>
              <w:jc w:val="center"/>
              <w:rPr>
                <w:sz w:val="24"/>
                <w:szCs w:val="24"/>
              </w:rPr>
            </w:pPr>
            <w:r>
              <w:rPr>
                <w:sz w:val="24"/>
                <w:szCs w:val="24"/>
              </w:rPr>
              <w:t>7</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0D1E9335"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16BE" w14:textId="77777777" w:rsidR="00CB6BAD" w:rsidRPr="00CB6BAD" w:rsidRDefault="00CB6BAD" w:rsidP="00CB6BAD">
            <w:pPr>
              <w:spacing w:line="240" w:lineRule="auto"/>
              <w:ind w:firstLine="0"/>
              <w:jc w:val="center"/>
              <w:rPr>
                <w:sz w:val="24"/>
                <w:szCs w:val="24"/>
              </w:rPr>
            </w:pPr>
            <w:r w:rsidRPr="00CB6BAD">
              <w:rPr>
                <w:sz w:val="24"/>
                <w:szCs w:val="24"/>
              </w:rPr>
              <w:t>КМС-2У 1x2x0,45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F6399" w14:textId="77777777" w:rsidR="00CB6BAD" w:rsidRPr="00CB6BAD" w:rsidRDefault="00CB6BAD" w:rsidP="00CB6BAD">
            <w:pPr>
              <w:spacing w:line="240" w:lineRule="auto"/>
              <w:ind w:firstLine="0"/>
              <w:jc w:val="center"/>
              <w:rPr>
                <w:sz w:val="24"/>
                <w:szCs w:val="24"/>
              </w:rPr>
            </w:pPr>
            <w:r w:rsidRPr="00CB6BAD">
              <w:rPr>
                <w:sz w:val="24"/>
                <w:szCs w:val="24"/>
              </w:rPr>
              <w:t>ТУ 3574-03-47273194-99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49C0F"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3CA9B" w14:textId="77777777" w:rsidR="00CB6BAD" w:rsidRPr="00CB6BAD" w:rsidRDefault="00CB6BAD" w:rsidP="00CB6BAD">
            <w:pPr>
              <w:spacing w:line="240" w:lineRule="auto"/>
              <w:ind w:firstLine="0"/>
              <w:jc w:val="center"/>
              <w:rPr>
                <w:sz w:val="24"/>
                <w:szCs w:val="24"/>
              </w:rPr>
            </w:pPr>
            <w:r w:rsidRPr="00CB6BAD">
              <w:rPr>
                <w:sz w:val="24"/>
                <w:szCs w:val="24"/>
              </w:rPr>
              <w:t>5</w:t>
            </w:r>
          </w:p>
        </w:tc>
      </w:tr>
      <w:tr w:rsidR="00CB6BAD" w:rsidRPr="00CB6BAD" w14:paraId="78CFA50A" w14:textId="77777777" w:rsidTr="00CB6BAD">
        <w:tblPrEx>
          <w:tblCellMar>
            <w:top w:w="0" w:type="dxa"/>
          </w:tblCellMar>
        </w:tblPrEx>
        <w:trPr>
          <w:gridAfter w:val="1"/>
          <w:wAfter w:w="351"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469E9" w14:textId="6EB2FE55" w:rsidR="00CB6BAD" w:rsidRPr="00CB6BAD" w:rsidRDefault="00497198" w:rsidP="00CB6BAD">
            <w:pPr>
              <w:spacing w:line="240" w:lineRule="auto"/>
              <w:ind w:firstLine="0"/>
              <w:jc w:val="center"/>
              <w:rPr>
                <w:sz w:val="24"/>
                <w:szCs w:val="24"/>
              </w:rPr>
            </w:pPr>
            <w:r>
              <w:rPr>
                <w:sz w:val="24"/>
                <w:szCs w:val="24"/>
              </w:rPr>
              <w:t>8</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738FBED9" w14:textId="77777777" w:rsidR="00CB6BAD" w:rsidRPr="00CB6BAD" w:rsidRDefault="00CB6BAD" w:rsidP="00CB6BAD">
            <w:pPr>
              <w:spacing w:line="240" w:lineRule="auto"/>
              <w:ind w:firstLine="0"/>
              <w:jc w:val="left"/>
              <w:rPr>
                <w:sz w:val="24"/>
                <w:szCs w:val="24"/>
              </w:rPr>
            </w:pPr>
            <w:r w:rsidRPr="00CB6BAD">
              <w:rPr>
                <w:sz w:val="24"/>
                <w:szCs w:val="24"/>
              </w:rPr>
              <w:t>Кабель</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9754E" w14:textId="77777777" w:rsidR="00CB6BAD" w:rsidRPr="00CB6BAD" w:rsidRDefault="00CB6BAD" w:rsidP="00CB6BAD">
            <w:pPr>
              <w:spacing w:line="240" w:lineRule="auto"/>
              <w:ind w:firstLine="0"/>
              <w:jc w:val="center"/>
              <w:rPr>
                <w:sz w:val="24"/>
                <w:szCs w:val="24"/>
              </w:rPr>
            </w:pPr>
            <w:proofErr w:type="spellStart"/>
            <w:r w:rsidRPr="00CB6BAD">
              <w:rPr>
                <w:sz w:val="24"/>
                <w:szCs w:val="24"/>
              </w:rPr>
              <w:t>КВПЭфнг</w:t>
            </w:r>
            <w:proofErr w:type="spellEnd"/>
            <w:r w:rsidRPr="00CB6BAD">
              <w:rPr>
                <w:sz w:val="24"/>
                <w:szCs w:val="24"/>
              </w:rPr>
              <w:t>(А)-LS-5е 1х2х0,52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60F85" w14:textId="77777777" w:rsidR="00CB6BAD" w:rsidRPr="00CB6BAD" w:rsidRDefault="00CB6BAD" w:rsidP="00CB6BAD">
            <w:pPr>
              <w:spacing w:line="240" w:lineRule="auto"/>
              <w:ind w:firstLine="0"/>
              <w:jc w:val="center"/>
              <w:rPr>
                <w:sz w:val="24"/>
                <w:szCs w:val="24"/>
              </w:rPr>
            </w:pPr>
            <w:r w:rsidRPr="00CB6BAD">
              <w:rPr>
                <w:sz w:val="24"/>
                <w:szCs w:val="24"/>
              </w:rPr>
              <w:t>ТУ16.К99-014-2004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D69BD" w14:textId="77777777" w:rsidR="00CB6BAD" w:rsidRPr="00CB6BAD" w:rsidRDefault="00CB6BAD" w:rsidP="00CB6BAD">
            <w:pPr>
              <w:spacing w:line="240" w:lineRule="auto"/>
              <w:ind w:firstLine="0"/>
              <w:jc w:val="center"/>
              <w:rPr>
                <w:sz w:val="24"/>
                <w:szCs w:val="24"/>
              </w:rPr>
            </w:pPr>
            <w:r w:rsidRPr="00CB6BAD">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E3121" w14:textId="3871CEE3" w:rsidR="00CB6BAD" w:rsidRPr="00CB6BAD" w:rsidRDefault="00497198" w:rsidP="00CB6BAD">
            <w:pPr>
              <w:spacing w:line="240" w:lineRule="auto"/>
              <w:ind w:firstLine="0"/>
              <w:jc w:val="center"/>
              <w:rPr>
                <w:sz w:val="24"/>
                <w:szCs w:val="24"/>
              </w:rPr>
            </w:pPr>
            <w:r>
              <w:rPr>
                <w:sz w:val="24"/>
                <w:szCs w:val="24"/>
              </w:rPr>
              <w:t>5</w:t>
            </w:r>
            <w:r w:rsidR="00CB6BAD" w:rsidRPr="00CB6BAD">
              <w:rPr>
                <w:sz w:val="24"/>
                <w:szCs w:val="24"/>
              </w:rPr>
              <w:t>5</w:t>
            </w:r>
          </w:p>
        </w:tc>
      </w:tr>
    </w:tbl>
    <w:p w14:paraId="20C35391" w14:textId="77777777" w:rsidR="00CB6BAD" w:rsidRDefault="00CB6BAD" w:rsidP="00E9223F">
      <w:pPr>
        <w:spacing w:line="240" w:lineRule="auto"/>
        <w:ind w:firstLine="0"/>
        <w:contextualSpacing/>
        <w:rPr>
          <w:b/>
          <w:bCs/>
        </w:rPr>
      </w:pPr>
    </w:p>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lastRenderedPageBreak/>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233BEDE" w14:textId="77777777" w:rsidR="003D5AC7" w:rsidRDefault="003D5AC7" w:rsidP="00EF7342">
      <w:pPr>
        <w:spacing w:line="240" w:lineRule="auto"/>
        <w:ind w:firstLine="0"/>
        <w:rPr>
          <w:b/>
          <w:kern w:val="28"/>
          <w:sz w:val="24"/>
          <w:szCs w:val="24"/>
          <w:u w:val="single"/>
        </w:rPr>
      </w:pPr>
    </w:p>
    <w:p w14:paraId="762E46F4" w14:textId="77777777" w:rsidR="003D5AC7" w:rsidRDefault="003D5AC7" w:rsidP="00EF7342">
      <w:pPr>
        <w:spacing w:line="240" w:lineRule="auto"/>
        <w:ind w:firstLine="0"/>
        <w:rPr>
          <w:b/>
          <w:kern w:val="28"/>
          <w:sz w:val="24"/>
          <w:szCs w:val="24"/>
          <w:u w:val="single"/>
        </w:rPr>
      </w:pP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C81DE1"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0EC7C16D"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C81DE1">
        <w:rPr>
          <w:b/>
        </w:rPr>
        <w:t>58</w:t>
      </w:r>
      <w:r w:rsidRPr="002E4834">
        <w:rPr>
          <w:kern w:val="28"/>
        </w:rPr>
        <w:t xml:space="preserve"> «АО «МТУ Сатурн»/</w:t>
      </w:r>
      <w:r w:rsidR="0075157F">
        <w:rPr>
          <w:kern w:val="28"/>
        </w:rPr>
        <w:t>Царева Н.В</w:t>
      </w:r>
      <w:r w:rsidR="002E4834" w:rsidRPr="002E4834">
        <w:rPr>
          <w:kern w:val="28"/>
        </w:rPr>
        <w:t>.</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14454E17" w:rsidR="00BC1321" w:rsidRPr="00EF7342" w:rsidRDefault="009F588D" w:rsidP="00BC1321">
      <w:pPr>
        <w:tabs>
          <w:tab w:val="num" w:pos="0"/>
        </w:tabs>
        <w:spacing w:line="240" w:lineRule="auto"/>
        <w:rPr>
          <w:b/>
          <w:u w:val="single"/>
        </w:rPr>
      </w:pPr>
      <w:r w:rsidRPr="00FE608F">
        <w:rPr>
          <w:b/>
          <w:u w:val="single"/>
        </w:rPr>
        <w:t>1</w:t>
      </w:r>
      <w:r w:rsidR="00C81DE1">
        <w:rPr>
          <w:b/>
          <w:u w:val="single"/>
        </w:rPr>
        <w:t>7</w:t>
      </w:r>
      <w:r w:rsidR="00601EB9" w:rsidRPr="00FE608F">
        <w:rPr>
          <w:b/>
          <w:u w:val="single"/>
        </w:rPr>
        <w:t xml:space="preserve"> </w:t>
      </w:r>
      <w:r w:rsidR="00C81DE1">
        <w:rPr>
          <w:b/>
          <w:u w:val="single"/>
        </w:rPr>
        <w:t>мая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lastRenderedPageBreak/>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54543C6A" w:rsidR="00AD607B" w:rsidRPr="00C81DE1" w:rsidRDefault="00AD607B" w:rsidP="00C81DE1">
      <w:pPr>
        <w:pStyle w:val="a"/>
        <w:numPr>
          <w:ilvl w:val="0"/>
          <w:numId w:val="0"/>
        </w:numPr>
        <w:tabs>
          <w:tab w:val="num" w:pos="0"/>
        </w:tabs>
        <w:spacing w:before="0" w:line="240" w:lineRule="auto"/>
        <w:ind w:firstLine="567"/>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953013">
        <w:t>7</w:t>
      </w:r>
      <w:r w:rsidR="00601EB9" w:rsidRPr="00D16D62">
        <w:t>0 (</w:t>
      </w:r>
      <w:r w:rsidR="00953013">
        <w:t>Се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953013">
        <w:t>3</w:t>
      </w:r>
      <w:r w:rsidR="002E4834" w:rsidRPr="00D16D62">
        <w:t>0 (</w:t>
      </w:r>
      <w:r w:rsidR="00953013">
        <w:t>Три</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4B503B7B"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C81DE1">
        <w:rPr>
          <w:b/>
          <w:u w:val="single"/>
        </w:rPr>
        <w:t>3</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 xml:space="preserve">В Коммерческом предложении должны быть отражены </w:t>
      </w:r>
      <w:proofErr w:type="gramStart"/>
      <w:r w:rsidRPr="00B7293B">
        <w:rPr>
          <w:rFonts w:ascii="Times New Roman" w:hAnsi="Times New Roman"/>
          <w:bCs w:val="0"/>
          <w:kern w:val="0"/>
          <w:sz w:val="28"/>
          <w:szCs w:val="28"/>
        </w:rPr>
        <w:t>следующие условия</w:t>
      </w:r>
      <w:proofErr w:type="gramEnd"/>
      <w:r w:rsidRPr="00B7293B">
        <w:rPr>
          <w:rFonts w:ascii="Times New Roman" w:hAnsi="Times New Roman"/>
          <w:bCs w:val="0"/>
          <w:kern w:val="0"/>
          <w:sz w:val="28"/>
          <w:szCs w:val="28"/>
        </w:rPr>
        <w:t xml:space="preserve">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1C1CCD4E"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7FCEC79"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5D08AE34"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37E88D43" w14:textId="77777777" w:rsidR="00C609F3" w:rsidRPr="00B7293B" w:rsidRDefault="00C609F3" w:rsidP="00C609F3">
      <w:pPr>
        <w:spacing w:line="240" w:lineRule="auto"/>
      </w:pPr>
      <w:r w:rsidRPr="00B7293B">
        <w:t>2. Шаблон договора</w:t>
      </w:r>
    </w:p>
    <w:p w14:paraId="6F800A72"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77777777" w:rsidR="00D30FC2" w:rsidRPr="00BC659D" w:rsidRDefault="009F588D" w:rsidP="00D30FC2">
            <w:pPr>
              <w:spacing w:line="276" w:lineRule="auto"/>
              <w:ind w:left="129"/>
              <w:jc w:val="left"/>
              <w:rPr>
                <w:b/>
              </w:rPr>
            </w:pPr>
            <w:r>
              <w:rPr>
                <w:b/>
              </w:rPr>
              <w:t>Главный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77777777" w:rsidR="00D30FC2" w:rsidRPr="00BC659D" w:rsidRDefault="00AA36FE" w:rsidP="00C227F5">
            <w:pPr>
              <w:spacing w:after="200" w:line="276" w:lineRule="auto"/>
              <w:ind w:firstLine="0"/>
              <w:jc w:val="right"/>
              <w:rPr>
                <w:b/>
              </w:rPr>
            </w:pPr>
            <w:proofErr w:type="spellStart"/>
            <w:r>
              <w:rPr>
                <w:b/>
              </w:rPr>
              <w:t>Н.В.Царева</w:t>
            </w:r>
            <w:proofErr w:type="spellEnd"/>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36BD85E3" w14:textId="77777777" w:rsidR="00C227F5" w:rsidRPr="00A852CE" w:rsidRDefault="00C227F5">
      <w:pPr>
        <w:spacing w:after="200" w:line="276" w:lineRule="auto"/>
        <w:ind w:firstLine="0"/>
        <w:jc w:val="left"/>
        <w:rPr>
          <w:color w:val="FF0000"/>
        </w:rPr>
      </w:pPr>
      <w:r w:rsidRPr="00A852CE">
        <w:rPr>
          <w:color w:val="FF0000"/>
        </w:rPr>
        <w:br w:type="page"/>
      </w:r>
    </w:p>
    <w:p w14:paraId="1FC61382"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 xml:space="preserve">Наименование и адрес </w:t>
      </w:r>
      <w:proofErr w:type="gramStart"/>
      <w:r w:rsidRPr="00B7293B">
        <w:t>Участника:  _</w:t>
      </w:r>
      <w:proofErr w:type="gramEnd"/>
      <w:r w:rsidRPr="00B7293B">
        <w:t>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 xml:space="preserve">(подпись, </w:t>
      </w:r>
      <w:proofErr w:type="gramStart"/>
      <w:r w:rsidRPr="00B7293B">
        <w:rPr>
          <w:vertAlign w:val="superscript"/>
        </w:rPr>
        <w:t>М.П.)</w:t>
      </w:r>
      <w:r w:rsidRPr="00B7293B">
        <w:t>_</w:t>
      </w:r>
      <w:proofErr w:type="gramEnd"/>
      <w:r w:rsidRPr="00B7293B">
        <w:t>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7A0A"/>
    <w:rsid w:val="00B4570D"/>
    <w:rsid w:val="00B45948"/>
    <w:rsid w:val="00B557DC"/>
    <w:rsid w:val="00B62256"/>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1DE1"/>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Царева Наталия Владимировна</cp:lastModifiedBy>
  <cp:revision>37</cp:revision>
  <cp:lastPrinted>2020-03-04T14:27:00Z</cp:lastPrinted>
  <dcterms:created xsi:type="dcterms:W3CDTF">2021-10-13T08:10:00Z</dcterms:created>
  <dcterms:modified xsi:type="dcterms:W3CDTF">2022-05-05T13:54:00Z</dcterms:modified>
</cp:coreProperties>
</file>